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Pr="00B351E4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на 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627EF6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B351E4"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B351E4" w:rsidRDefault="00F12C5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B351E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 w:rsidRPr="00B351E4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сийского района (МКУ ХМР «ЦБ»)</w:t>
            </w:r>
            <w:r w:rsidR="00B351E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B351E4" w:rsidRPr="00B351E4" w:rsidRDefault="00F34B5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="00B351E4"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="00B351E4"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1E4" w:rsidRPr="00B351E4">
              <w:rPr>
                <w:rFonts w:ascii="Times New Roman" w:hAnsi="Times New Roman" w:cs="Times New Roman"/>
              </w:rPr>
              <w:t>МАУ ХМР «ММЦ));</w:t>
            </w:r>
          </w:p>
          <w:p w:rsidR="00D07ED5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>Мансийского района</w:t>
            </w:r>
            <w:r w:rsidR="00FC444C">
              <w:rPr>
                <w:rFonts w:ascii="Times New Roman" w:hAnsi="Times New Roman" w:cs="Times New Roman"/>
                <w:szCs w:val="22"/>
              </w:rPr>
              <w:t>;</w:t>
            </w:r>
          </w:p>
          <w:p w:rsidR="00F34B59" w:rsidRPr="00B351E4" w:rsidRDefault="00F34B59" w:rsidP="00F34B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B351E4" w:rsidRDefault="001A2D6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B351E4" w:rsidRDefault="00982E09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  <w:r w:rsidR="00F90CBD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B351E4" w:rsidRDefault="00CB25E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F90CB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CB1DE5" w:rsidRPr="00B351E4" w:rsidRDefault="00CB1DE5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в общем количестве муниципальных 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№ 468-п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13386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73683F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7E0E0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356620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85E1D" w:rsidRPr="00B351E4" w:rsidRDefault="00285E1D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85E1D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B351E4" w:rsidRDefault="00392ABC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31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21</w:t>
            </w:r>
            <w:r w:rsidRPr="00B351E4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46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B351E4" w:rsidRDefault="00F452AB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EB276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EB276B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472B69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B351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7D06B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8C2D82">
        <w:trPr>
          <w:trHeight w:val="2699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B351E4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B16CC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B351E4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6 235 263,5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3 991 920,2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2 117 624,0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2 109 803,0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 w:rsidRPr="00B351E4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  <w:p w:rsidR="005C6333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16CC3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B351E4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B351E4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3189"/>
        <w:gridCol w:w="2835"/>
        <w:gridCol w:w="1843"/>
        <w:gridCol w:w="1559"/>
        <w:gridCol w:w="1417"/>
        <w:gridCol w:w="1134"/>
        <w:gridCol w:w="993"/>
      </w:tblGrid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>показатель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42370A" w:rsidTr="00B351E4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  <w:r w:rsidR="00E54E29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25" w:rsidRPr="0042370A" w:rsidRDefault="005C2A25" w:rsidP="005C2A25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25" w:rsidRPr="0042370A" w:rsidRDefault="005C2A25" w:rsidP="005C2A25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25 456,9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9011CB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502CB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6C5802" w:rsidRPr="0042370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C5802"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="006C5802"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</w:t>
            </w:r>
            <w:r w:rsidR="003D35DF" w:rsidRPr="0042370A">
              <w:rPr>
                <w:rFonts w:ascii="Times New Roman" w:hAnsi="Times New Roman" w:cs="Times New Roman"/>
              </w:rPr>
              <w:t> 403,6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43 </w:t>
            </w:r>
            <w:r w:rsidR="003D35DF" w:rsidRPr="0042370A">
              <w:rPr>
                <w:rFonts w:ascii="Times New Roman" w:hAnsi="Times New Roman" w:cs="Times New Roman"/>
              </w:rPr>
              <w:t>403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 w:rsidR="003D35DF" w:rsidRPr="0042370A">
              <w:rPr>
                <w:rFonts w:ascii="Times New Roman" w:hAnsi="Times New Roman" w:cs="Times New Roman"/>
              </w:rPr>
              <w:t>609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3D35D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F36F2D" w:rsidRPr="0042370A" w:rsidTr="003D35D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12 213,6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</w:t>
            </w:r>
            <w:r w:rsidR="0014595E" w:rsidRPr="0042370A">
              <w:rPr>
                <w:rFonts w:ascii="Times New Roman" w:hAnsi="Times New Roman" w:cs="Times New Roman"/>
              </w:rPr>
              <w:t>280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14595E"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 w:rsidR="0014595E" w:rsidRPr="0042370A">
              <w:rPr>
                <w:rFonts w:ascii="Times New Roman" w:hAnsi="Times New Roman" w:cs="Times New Roman"/>
              </w:rPr>
              <w:t>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14595E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29 280,3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14595E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9 254,7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14595E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167 657,0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14595E" w:rsidRPr="0042370A" w:rsidTr="003D35DF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128 028,5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14595E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34 842,9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14595E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4 785,6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371 845,7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160 898,6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14595E" w:rsidRPr="0042370A" w:rsidTr="00B351E4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371 845,7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160 898,6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42370A" w:rsidTr="00B351E4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11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B351E4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5 752,8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5 752,8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1343A8" w:rsidRPr="0042370A" w:rsidTr="00B351E4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5 752,8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5 752,8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3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860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289,</w:t>
            </w:r>
            <w:r w:rsidRPr="0042370A">
              <w:rPr>
                <w:rFonts w:ascii="Times New Roman" w:hAnsi="Times New Roman" w:cs="Times New Roman"/>
                <w:lang w:val="en-US"/>
              </w:rPr>
              <w:t>5</w:t>
            </w:r>
            <w:r w:rsidR="00530FB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1 2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A81EA5" w:rsidRPr="0042370A">
              <w:rPr>
                <w:rFonts w:ascii="Times New Roman" w:hAnsi="Times New Roman" w:cs="Times New Roman"/>
              </w:rPr>
              <w:t> 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470</w:t>
            </w:r>
            <w:r w:rsidR="00A81EA5"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42370A" w:rsidTr="003D35DF">
        <w:trPr>
          <w:trHeight w:val="4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732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883,</w:t>
            </w:r>
            <w:r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="00530FB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1 250 897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A81EA5">
        <w:trPr>
          <w:trHeight w:val="855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</w:t>
            </w:r>
            <w:r w:rsidR="00A81EA5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1 </w:t>
            </w:r>
            <w:r w:rsidR="00A81EA5" w:rsidRPr="0042370A">
              <w:rPr>
                <w:rFonts w:ascii="Times New Roman" w:hAnsi="Times New Roman" w:cs="Times New Roman"/>
              </w:rPr>
              <w:t>134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A81EA5" w:rsidRPr="0042370A" w:rsidTr="003D35DF">
        <w:trPr>
          <w:trHeight w:val="7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1 171 134,2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3D35DF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3D35DF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3D35DF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D715FD" w:rsidRPr="0042370A">
              <w:rPr>
                <w:rFonts w:ascii="Times New Roman" w:hAnsi="Times New Roman" w:cs="Times New Roman"/>
              </w:rPr>
              <w:t xml:space="preserve">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3D35DF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>показатель 2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28 224,0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11 942,0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14 595,7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A81EA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342 400,7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A81EA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115 826,7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A81EA5" w:rsidRPr="0042370A" w:rsidTr="003D35D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342 400,7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115 826,7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42370A" w:rsidTr="003D35DF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 xml:space="preserve">1, 2)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A81EA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708 334,2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A81EA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231 322,0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472C01" w:rsidRPr="0042370A" w:rsidTr="00576CD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708 334,2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231 322,0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72C0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695 720,8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72C0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227 117,6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472C01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695 720,8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227 117,6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42370A" w:rsidTr="003D35DF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A86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472C01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42370A" w:rsidRDefault="00472C0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472C01" w:rsidRPr="0042370A" w:rsidTr="003D35D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42370A" w:rsidTr="003D35DF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3D35DF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3D35DF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3D35DF">
        <w:trPr>
          <w:trHeight w:val="5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3D35DF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3D35D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0246C2" w:rsidRPr="0042370A" w:rsidTr="003D35DF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235 570,5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42370A" w:rsidTr="003D35DF">
        <w:trPr>
          <w:trHeight w:val="8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BF06E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0246C2" w:rsidRPr="0042370A" w:rsidTr="003D35DF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5 553 727,9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1 855 323,5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3 732 883,9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1 250 897,2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1 695 124,7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564 073,5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1 693 438,4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563 852,8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42370A" w:rsidTr="005C2327">
        <w:trPr>
          <w:trHeight w:val="12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F910B3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17</w:t>
            </w:r>
            <w:r w:rsidRPr="0042370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42370A" w:rsidRDefault="00BE0A3F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F06E8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63 745,1</w:t>
            </w:r>
            <w:r w:rsidR="00BE0A3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F06E8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42370A" w:rsidTr="003D35DF">
        <w:trPr>
          <w:trHeight w:val="88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38 461,5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25 283,6</w:t>
            </w:r>
            <w:r w:rsidR="00BE0A3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19 148,9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6 579,9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26 019,2</w:t>
            </w:r>
            <w:r w:rsidR="006E200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42370A" w:rsidTr="003D35DF">
        <w:trPr>
          <w:trHeight w:val="82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3F2F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</w:t>
            </w:r>
            <w:r w:rsidR="003F2F2C" w:rsidRPr="0042370A">
              <w:rPr>
                <w:rFonts w:ascii="Times New Roman" w:hAnsi="Times New Roman" w:cs="Times New Roman"/>
              </w:rPr>
              <w:t> 817,3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3F2F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 w:rsidR="003F2F2C" w:rsidRPr="0042370A">
              <w:rPr>
                <w:rFonts w:ascii="Times New Roman" w:hAnsi="Times New Roman" w:cs="Times New Roman"/>
              </w:rPr>
              <w:t> 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3 757,8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4E7217" w:rsidRPr="0042370A" w:rsidTr="003D35D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3D35DF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 «Спортивная школа Ханты-Мансийского района»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3D35DF">
        <w:trPr>
          <w:trHeight w:val="10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3D35DF">
        <w:trPr>
          <w:trHeight w:val="3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FF6687" w:rsidRPr="0042370A">
              <w:rPr>
                <w:rFonts w:ascii="Times New Roman" w:hAnsi="Times New Roman" w:cs="Times New Roman"/>
              </w:rPr>
              <w:t>показатель 4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4E7217" w:rsidRPr="0042370A">
              <w:rPr>
                <w:rFonts w:ascii="Times New Roman" w:hAnsi="Times New Roman" w:cs="Times New Roman"/>
              </w:rPr>
              <w:t> 984,6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14 782,7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3D35DF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21 603,2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13 830,2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3D35DF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5 182,2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2 381,4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3D35DF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21 598,5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15 832,2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5 766,3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42370A" w:rsidTr="003D35DF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</w:t>
            </w:r>
            <w:r w:rsidR="00FF6687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42370A" w:rsidRDefault="00FF6687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</w:t>
            </w:r>
            <w:r w:rsidR="00305486" w:rsidRPr="0042370A">
              <w:rPr>
                <w:rFonts w:ascii="Times New Roman" w:hAnsi="Times New Roman" w:cs="Times New Roman"/>
              </w:rPr>
              <w:t>з</w:t>
            </w:r>
            <w:r w:rsidRPr="0042370A">
              <w:rPr>
                <w:rFonts w:ascii="Times New Roman" w:hAnsi="Times New Roman" w:cs="Times New Roman"/>
              </w:rPr>
              <w:t>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  <w:r w:rsidR="00FF6687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F7253A" w:rsidRPr="0042370A" w:rsidTr="00576CDA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5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E72B30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E72B30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( </w:t>
            </w:r>
            <w:r w:rsidR="00137BB7" w:rsidRPr="0042370A">
              <w:rPr>
                <w:rFonts w:ascii="Times New Roman" w:hAnsi="Times New Roman" w:cs="Times New Roman"/>
              </w:rPr>
              <w:t>показатели 3,5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3D35DF">
        <w:trPr>
          <w:trHeight w:val="14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3D35D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3D35DF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3D35DF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298 117,1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111 653,9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259 036,3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39 080,8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16 911,6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32 946,1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42370A" w:rsidTr="00B351E4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5C2327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475FE2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6 235 263,5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F7253A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3 991 920,2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2 117 624,0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F7253A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2 109 803,0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5C2327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184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6</w:t>
            </w:r>
            <w:r w:rsidR="00AD5D18" w:rsidRPr="0042370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="00AD5D18"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CA17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CA1783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 w:rsidR="00CA1783" w:rsidRPr="0042370A">
              <w:rPr>
                <w:rFonts w:ascii="Times New Roman" w:hAnsi="Times New Roman" w:cs="Times New Roman"/>
              </w:rPr>
              <w:t>22</w:t>
            </w:r>
            <w:r w:rsidR="00CA1783"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="00CA1783" w:rsidRPr="0042370A">
              <w:rPr>
                <w:rFonts w:ascii="Times New Roman" w:hAnsi="Times New Roman" w:cs="Times New Roman"/>
              </w:rPr>
              <w:t>619,9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CA1783" w:rsidP="00E51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2 122 925,2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9A28B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9A28B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9A28B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2 104 980,4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739 932,9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9A28B4" w:rsidP="005275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2 097 159,4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9A28B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737 667,3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6807BE">
        <w:trPr>
          <w:trHeight w:val="693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5 563 495,0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C840C2" w:rsidP="00724C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724C56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</w:t>
            </w:r>
            <w:r w:rsidR="00724C56" w:rsidRPr="0042370A">
              <w:rPr>
                <w:rFonts w:ascii="Times New Roman" w:hAnsi="Times New Roman" w:cs="Times New Roman"/>
              </w:rPr>
              <w:t>61 380,6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3 741 351,1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6B44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1 253 719,6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1 696 424,6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1 689 556,1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6B44D8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565 360,1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42370A" w:rsidTr="00FF6687">
        <w:trPr>
          <w:trHeight w:val="189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6 868,5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42370A" w:rsidTr="00137BB7">
        <w:trPr>
          <w:trHeight w:val="1391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 xml:space="preserve">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 xml:space="preserve">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0E539A" w:rsidRPr="0042370A">
              <w:rPr>
                <w:rFonts w:ascii="Times New Roman" w:hAnsi="Times New Roman" w:cs="Times New Roman"/>
              </w:rPr>
              <w:t>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B351E4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2 450,4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42370A" w:rsidTr="005C2327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1 021,5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5C2327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5D1B92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4 582,7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опеки и попечительства))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8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(МКУ ХМР "ЦБ"))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250 708,5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5D1B92" w:rsidRPr="0042370A">
              <w:rPr>
                <w:rFonts w:ascii="Times New Roman" w:hAnsi="Times New Roman" w:cs="Times New Roman"/>
              </w:rPr>
              <w:t>5 750,7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5D1B92" w:rsidRPr="0042370A">
              <w:rPr>
                <w:rFonts w:ascii="Times New Roman" w:hAnsi="Times New Roman" w:cs="Times New Roman"/>
              </w:rPr>
              <w:t>5 570,5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F34B59" w:rsidRPr="0042370A" w:rsidTr="00F34B5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F34B5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B9730E">
        <w:trPr>
          <w:trHeight w:val="510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59" w:rsidRPr="0042370A" w:rsidTr="00B9730E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42370A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bookmarkStart w:id="0" w:name="_GoBack"/>
            <w:bookmarkEnd w:id="0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и условия предоставления субсидии из бюджета 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B351E4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2022год и на плановый период 2023и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E51E9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217C63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E51E98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D6D18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1D6D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943D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E51E9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91771B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</w:t>
      </w:r>
      <w:proofErr w:type="spellStart"/>
      <w:r w:rsidRPr="0091771B">
        <w:rPr>
          <w:rFonts w:ascii="Times New Roman" w:eastAsia="Calibri" w:hAnsi="Times New Roman" w:cs="Times New Roman"/>
        </w:rPr>
        <w:t>муниципально</w:t>
      </w:r>
      <w:proofErr w:type="spellEnd"/>
      <w:r w:rsidRPr="0091771B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B351E4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DA" w:rsidRDefault="00576CDA">
      <w:pPr>
        <w:spacing w:after="0" w:line="240" w:lineRule="auto"/>
      </w:pPr>
      <w:r>
        <w:separator/>
      </w:r>
    </w:p>
  </w:endnote>
  <w:endnote w:type="continuationSeparator" w:id="0">
    <w:p w:rsidR="00576CDA" w:rsidRDefault="0057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DA" w:rsidRDefault="00576CDA">
      <w:pPr>
        <w:spacing w:after="0" w:line="240" w:lineRule="auto"/>
      </w:pPr>
      <w:r>
        <w:separator/>
      </w:r>
    </w:p>
  </w:footnote>
  <w:footnote w:type="continuationSeparator" w:id="0">
    <w:p w:rsidR="00576CDA" w:rsidRDefault="0057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76CDA" w:rsidRPr="00524202" w:rsidRDefault="00576CDA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42370A">
          <w:rPr>
            <w:rFonts w:ascii="Times New Roman" w:hAnsi="Times New Roman"/>
            <w:noProof/>
            <w:sz w:val="24"/>
          </w:rPr>
          <w:t>32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76CDA" w:rsidRPr="009115FC" w:rsidRDefault="00576CDA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DA" w:rsidRDefault="00576CDA">
    <w:pPr>
      <w:pStyle w:val="ac"/>
      <w:jc w:val="center"/>
    </w:pPr>
  </w:p>
  <w:p w:rsidR="00576CDA" w:rsidRDefault="00576C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95E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2A25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4DEC-69FE-4CB0-B80E-E6357F23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59</Pages>
  <Words>12488</Words>
  <Characters>71183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Колотилова Ольга Николаевна</cp:lastModifiedBy>
  <cp:revision>51</cp:revision>
  <cp:lastPrinted>2022-08-16T07:18:00Z</cp:lastPrinted>
  <dcterms:created xsi:type="dcterms:W3CDTF">2022-04-07T06:17:00Z</dcterms:created>
  <dcterms:modified xsi:type="dcterms:W3CDTF">2022-08-16T12:29:00Z</dcterms:modified>
</cp:coreProperties>
</file>